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03B4" w14:textId="77777777" w:rsidR="00ED6D16" w:rsidRPr="00ED6D16" w:rsidRDefault="00ED6D16" w:rsidP="00ED6D16">
      <w:pPr>
        <w:spacing w:after="100" w:afterAutospacing="1" w:line="240" w:lineRule="auto"/>
        <w:outlineLvl w:val="2"/>
        <w:rPr>
          <w:rFonts w:ascii="Arial" w:eastAsia="Times New Roman" w:hAnsi="Arial" w:cs="Arial"/>
          <w:b/>
          <w:bCs/>
          <w:kern w:val="0"/>
          <w:sz w:val="27"/>
          <w:szCs w:val="27"/>
          <w:lang w:eastAsia="en-PH"/>
          <w14:ligatures w14:val="none"/>
        </w:rPr>
      </w:pPr>
      <w:r w:rsidRPr="00ED6D16">
        <w:rPr>
          <w:rFonts w:ascii="Arial" w:eastAsia="Times New Roman" w:hAnsi="Arial" w:cs="Arial"/>
          <w:b/>
          <w:bCs/>
          <w:kern w:val="0"/>
          <w:sz w:val="27"/>
          <w:szCs w:val="27"/>
          <w:lang w:eastAsia="en-PH"/>
          <w14:ligatures w14:val="none"/>
        </w:rPr>
        <w:t>1. Strengthening Domestic Violence Laws: Spain</w:t>
      </w:r>
    </w:p>
    <w:p w14:paraId="7C10E0B6" w14:textId="77777777" w:rsidR="00ED6D16" w:rsidRPr="00ED6D16" w:rsidRDefault="00ED6D16" w:rsidP="00ED6D16">
      <w:pPr>
        <w:numPr>
          <w:ilvl w:val="0"/>
          <w:numId w:val="1"/>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Issue:</w:t>
      </w:r>
      <w:r w:rsidRPr="00ED6D16">
        <w:rPr>
          <w:rFonts w:ascii="Arial" w:eastAsia="Times New Roman" w:hAnsi="Arial" w:cs="Arial"/>
          <w:kern w:val="0"/>
          <w:sz w:val="24"/>
          <w:szCs w:val="24"/>
          <w:lang w:eastAsia="en-PH"/>
          <w14:ligatures w14:val="none"/>
        </w:rPr>
        <w:t xml:space="preserve"> In the case of </w:t>
      </w:r>
      <w:r w:rsidRPr="00ED6D16">
        <w:rPr>
          <w:rFonts w:ascii="Arial" w:eastAsia="Times New Roman" w:hAnsi="Arial" w:cs="Arial"/>
          <w:i/>
          <w:iCs/>
          <w:kern w:val="0"/>
          <w:sz w:val="24"/>
          <w:szCs w:val="24"/>
          <w:lang w:eastAsia="en-PH"/>
          <w14:ligatures w14:val="none"/>
        </w:rPr>
        <w:t>Gonzalez Carreno v. Spain (2014)</w:t>
      </w:r>
      <w:r w:rsidRPr="00ED6D16">
        <w:rPr>
          <w:rFonts w:ascii="Arial" w:eastAsia="Times New Roman" w:hAnsi="Arial" w:cs="Arial"/>
          <w:kern w:val="0"/>
          <w:sz w:val="24"/>
          <w:szCs w:val="24"/>
          <w:lang w:eastAsia="en-PH"/>
          <w14:ligatures w14:val="none"/>
        </w:rPr>
        <w:t>, a mother repeatedly warned authorities that her ex-husband was a danger to their daughter.</w:t>
      </w:r>
      <w:r w:rsidRPr="00ED6D16">
        <w:rPr>
          <w:rFonts w:ascii="Arial" w:eastAsia="Times New Roman" w:hAnsi="Arial" w:cs="Arial"/>
          <w:kern w:val="0"/>
          <w:sz w:val="24"/>
          <w:szCs w:val="24"/>
          <w:vertAlign w:val="superscript"/>
          <w:lang w:eastAsia="en-PH"/>
          <w14:ligatures w14:val="none"/>
        </w:rPr>
        <w:t>1</w:t>
      </w:r>
      <w:r w:rsidRPr="00ED6D16">
        <w:rPr>
          <w:rFonts w:ascii="Arial" w:eastAsia="Times New Roman" w:hAnsi="Arial" w:cs="Arial"/>
          <w:kern w:val="0"/>
          <w:sz w:val="24"/>
          <w:szCs w:val="24"/>
          <w:lang w:eastAsia="en-PH"/>
          <w14:ligatures w14:val="none"/>
        </w:rPr>
        <w:t xml:space="preserve"> Despite 30 complaints, a court allowed unsupervised visits, during which the father killed the child and himself.</w:t>
      </w:r>
      <w:r w:rsidRPr="00ED6D16">
        <w:rPr>
          <w:rFonts w:ascii="Arial" w:eastAsia="Times New Roman" w:hAnsi="Arial" w:cs="Arial"/>
          <w:kern w:val="0"/>
          <w:sz w:val="24"/>
          <w:szCs w:val="24"/>
          <w:vertAlign w:val="superscript"/>
          <w:lang w:eastAsia="en-PH"/>
          <w14:ligatures w14:val="none"/>
        </w:rPr>
        <w:t>2</w:t>
      </w:r>
    </w:p>
    <w:p w14:paraId="2E899B88" w14:textId="77777777" w:rsidR="00ED6D16" w:rsidRPr="00ED6D16" w:rsidRDefault="00ED6D16" w:rsidP="00ED6D16">
      <w:pPr>
        <w:numPr>
          <w:ilvl w:val="0"/>
          <w:numId w:val="1"/>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CEDAW Action:</w:t>
      </w:r>
      <w:r w:rsidRPr="00ED6D16">
        <w:rPr>
          <w:rFonts w:ascii="Arial" w:eastAsia="Times New Roman" w:hAnsi="Arial" w:cs="Arial"/>
          <w:kern w:val="0"/>
          <w:sz w:val="24"/>
          <w:szCs w:val="24"/>
          <w:lang w:eastAsia="en-PH"/>
          <w14:ligatures w14:val="none"/>
        </w:rPr>
        <w:t xml:space="preserve"> The mother filed a complaint under the </w:t>
      </w:r>
      <w:r w:rsidRPr="00ED6D16">
        <w:rPr>
          <w:rFonts w:ascii="Arial" w:eastAsia="Times New Roman" w:hAnsi="Arial" w:cs="Arial"/>
          <w:b/>
          <w:bCs/>
          <w:kern w:val="0"/>
          <w:sz w:val="24"/>
          <w:szCs w:val="24"/>
          <w:lang w:eastAsia="en-PH"/>
          <w14:ligatures w14:val="none"/>
        </w:rPr>
        <w:t>Optional Protocol</w:t>
      </w:r>
      <w:r w:rsidRPr="00ED6D16">
        <w:rPr>
          <w:rFonts w:ascii="Arial" w:eastAsia="Times New Roman" w:hAnsi="Arial" w:cs="Arial"/>
          <w:kern w:val="0"/>
          <w:sz w:val="24"/>
          <w:szCs w:val="24"/>
          <w:lang w:eastAsia="en-PH"/>
          <w14:ligatures w14:val="none"/>
        </w:rPr>
        <w:t>. The CEDAW Committee ruled that Spain failed to exercise "due diligence" to protect the woman and child.</w:t>
      </w:r>
      <w:r w:rsidRPr="00ED6D16">
        <w:rPr>
          <w:rFonts w:ascii="Arial" w:eastAsia="Times New Roman" w:hAnsi="Arial" w:cs="Arial"/>
          <w:kern w:val="0"/>
          <w:sz w:val="24"/>
          <w:szCs w:val="24"/>
          <w:vertAlign w:val="superscript"/>
          <w:lang w:eastAsia="en-PH"/>
          <w14:ligatures w14:val="none"/>
        </w:rPr>
        <w:t>3</w:t>
      </w:r>
    </w:p>
    <w:p w14:paraId="70207C28" w14:textId="77777777" w:rsidR="00ED6D16" w:rsidRPr="00ED6D16" w:rsidRDefault="00ED6D16" w:rsidP="00ED6D16">
      <w:pPr>
        <w:numPr>
          <w:ilvl w:val="0"/>
          <w:numId w:val="1"/>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Result:</w:t>
      </w:r>
      <w:r w:rsidRPr="00ED6D16">
        <w:rPr>
          <w:rFonts w:ascii="Arial" w:eastAsia="Times New Roman" w:hAnsi="Arial" w:cs="Arial"/>
          <w:kern w:val="0"/>
          <w:sz w:val="24"/>
          <w:szCs w:val="24"/>
          <w:lang w:eastAsia="en-PH"/>
          <w14:ligatures w14:val="none"/>
        </w:rPr>
        <w:t xml:space="preserve"> Spain was required to pay compensation and, more importantly, </w:t>
      </w:r>
      <w:r w:rsidRPr="00ED6D16">
        <w:rPr>
          <w:rFonts w:ascii="Arial" w:eastAsia="Times New Roman" w:hAnsi="Arial" w:cs="Arial"/>
          <w:b/>
          <w:bCs/>
          <w:kern w:val="0"/>
          <w:sz w:val="24"/>
          <w:szCs w:val="24"/>
          <w:lang w:eastAsia="en-PH"/>
          <w14:ligatures w14:val="none"/>
        </w:rPr>
        <w:t>overhaul its judicial system</w:t>
      </w:r>
      <w:r w:rsidRPr="00ED6D16">
        <w:rPr>
          <w:rFonts w:ascii="Arial" w:eastAsia="Times New Roman" w:hAnsi="Arial" w:cs="Arial"/>
          <w:kern w:val="0"/>
          <w:sz w:val="24"/>
          <w:szCs w:val="24"/>
          <w:lang w:eastAsia="en-PH"/>
          <w14:ligatures w14:val="none"/>
        </w:rPr>
        <w:t xml:space="preserve"> to ensure that a history of domestic violence is now legally mandated to be considered in child custody and visitation decisions.</w:t>
      </w:r>
    </w:p>
    <w:p w14:paraId="2947FCE0" w14:textId="77777777" w:rsidR="00ED6D16" w:rsidRPr="00ED6D16" w:rsidRDefault="00ED6D16" w:rsidP="00ED6D16">
      <w:pPr>
        <w:spacing w:after="100" w:afterAutospacing="1" w:line="240" w:lineRule="auto"/>
        <w:outlineLvl w:val="2"/>
        <w:rPr>
          <w:rFonts w:ascii="Arial" w:eastAsia="Times New Roman" w:hAnsi="Arial" w:cs="Arial"/>
          <w:b/>
          <w:bCs/>
          <w:kern w:val="0"/>
          <w:sz w:val="27"/>
          <w:szCs w:val="27"/>
          <w:lang w:eastAsia="en-PH"/>
          <w14:ligatures w14:val="none"/>
        </w:rPr>
      </w:pPr>
      <w:r w:rsidRPr="00ED6D16">
        <w:rPr>
          <w:rFonts w:ascii="Arial" w:eastAsia="Times New Roman" w:hAnsi="Arial" w:cs="Arial"/>
          <w:b/>
          <w:bCs/>
          <w:kern w:val="0"/>
          <w:sz w:val="27"/>
          <w:szCs w:val="27"/>
          <w:lang w:eastAsia="en-PH"/>
          <w14:ligatures w14:val="none"/>
        </w:rPr>
        <w:t>2. Landmark Labor Rights: Malaysia</w:t>
      </w:r>
    </w:p>
    <w:p w14:paraId="49BCD80B" w14:textId="77777777" w:rsidR="00ED6D16" w:rsidRPr="00ED6D16" w:rsidRDefault="00ED6D16" w:rsidP="00ED6D16">
      <w:pPr>
        <w:numPr>
          <w:ilvl w:val="0"/>
          <w:numId w:val="2"/>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Issue:</w:t>
      </w:r>
      <w:r w:rsidRPr="00ED6D16">
        <w:rPr>
          <w:rFonts w:ascii="Arial" w:eastAsia="Times New Roman" w:hAnsi="Arial" w:cs="Arial"/>
          <w:kern w:val="0"/>
          <w:sz w:val="24"/>
          <w:szCs w:val="24"/>
          <w:lang w:eastAsia="en-PH"/>
          <w14:ligatures w14:val="none"/>
        </w:rPr>
        <w:t xml:space="preserve"> In </w:t>
      </w:r>
      <w:proofErr w:type="spellStart"/>
      <w:r w:rsidRPr="00ED6D16">
        <w:rPr>
          <w:rFonts w:ascii="Arial" w:eastAsia="Times New Roman" w:hAnsi="Arial" w:cs="Arial"/>
          <w:i/>
          <w:iCs/>
          <w:kern w:val="0"/>
          <w:sz w:val="24"/>
          <w:szCs w:val="24"/>
          <w:lang w:eastAsia="en-PH"/>
          <w14:ligatures w14:val="none"/>
        </w:rPr>
        <w:t>Noorfadilla</w:t>
      </w:r>
      <w:proofErr w:type="spellEnd"/>
      <w:r w:rsidRPr="00ED6D16">
        <w:rPr>
          <w:rFonts w:ascii="Arial" w:eastAsia="Times New Roman" w:hAnsi="Arial" w:cs="Arial"/>
          <w:i/>
          <w:iCs/>
          <w:kern w:val="0"/>
          <w:sz w:val="24"/>
          <w:szCs w:val="24"/>
          <w:lang w:eastAsia="en-PH"/>
          <w14:ligatures w14:val="none"/>
        </w:rPr>
        <w:t xml:space="preserve"> binti Ahmad Saipan v. Government of Malaysia (2011)</w:t>
      </w:r>
      <w:r w:rsidRPr="00ED6D16">
        <w:rPr>
          <w:rFonts w:ascii="Arial" w:eastAsia="Times New Roman" w:hAnsi="Arial" w:cs="Arial"/>
          <w:kern w:val="0"/>
          <w:sz w:val="24"/>
          <w:szCs w:val="24"/>
          <w:lang w:eastAsia="en-PH"/>
          <w14:ligatures w14:val="none"/>
        </w:rPr>
        <w:t>, a woman had her job offer as a teacher revoked after the government discovered she was pregnant.</w:t>
      </w:r>
    </w:p>
    <w:p w14:paraId="6CB90073" w14:textId="77777777" w:rsidR="00ED6D16" w:rsidRPr="00ED6D16" w:rsidRDefault="00ED6D16" w:rsidP="00ED6D16">
      <w:pPr>
        <w:numPr>
          <w:ilvl w:val="0"/>
          <w:numId w:val="2"/>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CEDAW Action:</w:t>
      </w:r>
      <w:r w:rsidRPr="00ED6D16">
        <w:rPr>
          <w:rFonts w:ascii="Arial" w:eastAsia="Times New Roman" w:hAnsi="Arial" w:cs="Arial"/>
          <w:kern w:val="0"/>
          <w:sz w:val="24"/>
          <w:szCs w:val="24"/>
          <w:lang w:eastAsia="en-PH"/>
          <w14:ligatures w14:val="none"/>
        </w:rPr>
        <w:t xml:space="preserve"> The plaintiff’s legal team used </w:t>
      </w:r>
      <w:r w:rsidRPr="00ED6D16">
        <w:rPr>
          <w:rFonts w:ascii="Arial" w:eastAsia="Times New Roman" w:hAnsi="Arial" w:cs="Arial"/>
          <w:b/>
          <w:bCs/>
          <w:kern w:val="0"/>
          <w:sz w:val="24"/>
          <w:szCs w:val="24"/>
          <w:lang w:eastAsia="en-PH"/>
          <w14:ligatures w14:val="none"/>
        </w:rPr>
        <w:t>Article 11</w:t>
      </w:r>
      <w:r w:rsidRPr="00ED6D16">
        <w:rPr>
          <w:rFonts w:ascii="Arial" w:eastAsia="Times New Roman" w:hAnsi="Arial" w:cs="Arial"/>
          <w:kern w:val="0"/>
          <w:sz w:val="24"/>
          <w:szCs w:val="24"/>
          <w:lang w:eastAsia="en-PH"/>
          <w14:ligatures w14:val="none"/>
        </w:rPr>
        <w:t xml:space="preserve"> of CEDAW (which prohibits dismissal on the grounds of pregnancy) as a primary argument in court.</w:t>
      </w:r>
    </w:p>
    <w:p w14:paraId="10532F8B" w14:textId="77777777" w:rsidR="00ED6D16" w:rsidRPr="00ED6D16" w:rsidRDefault="00ED6D16" w:rsidP="00ED6D16">
      <w:pPr>
        <w:numPr>
          <w:ilvl w:val="0"/>
          <w:numId w:val="2"/>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Result:</w:t>
      </w:r>
      <w:r w:rsidRPr="00ED6D16">
        <w:rPr>
          <w:rFonts w:ascii="Arial" w:eastAsia="Times New Roman" w:hAnsi="Arial" w:cs="Arial"/>
          <w:kern w:val="0"/>
          <w:sz w:val="24"/>
          <w:szCs w:val="24"/>
          <w:lang w:eastAsia="en-PH"/>
          <w14:ligatures w14:val="none"/>
        </w:rPr>
        <w:t xml:space="preserve"> The Malaysian High Court made a historic ruling, declaring that pregnancy discrimination is a form of gender discrimination. The judge explicitly cited CEDAW, stating that as Malaysia had ratified the treaty, it had an obligation to uphold those standards in its domestic law.</w:t>
      </w:r>
    </w:p>
    <w:p w14:paraId="6253B366" w14:textId="77777777" w:rsidR="00ED6D16" w:rsidRPr="00ED6D16" w:rsidRDefault="00ED6D16" w:rsidP="00ED6D16">
      <w:pPr>
        <w:spacing w:after="100" w:afterAutospacing="1" w:line="240" w:lineRule="auto"/>
        <w:outlineLvl w:val="2"/>
        <w:rPr>
          <w:rFonts w:ascii="Arial" w:eastAsia="Times New Roman" w:hAnsi="Arial" w:cs="Arial"/>
          <w:b/>
          <w:bCs/>
          <w:kern w:val="0"/>
          <w:sz w:val="27"/>
          <w:szCs w:val="27"/>
          <w:lang w:eastAsia="en-PH"/>
          <w14:ligatures w14:val="none"/>
        </w:rPr>
      </w:pPr>
      <w:r w:rsidRPr="00ED6D16">
        <w:rPr>
          <w:rFonts w:ascii="Arial" w:eastAsia="Times New Roman" w:hAnsi="Arial" w:cs="Arial"/>
          <w:b/>
          <w:bCs/>
          <w:kern w:val="0"/>
          <w:sz w:val="27"/>
          <w:szCs w:val="27"/>
          <w:lang w:eastAsia="en-PH"/>
          <w14:ligatures w14:val="none"/>
        </w:rPr>
        <w:t>3. Protecting Rural Women's Land Rights: Tanzania</w:t>
      </w:r>
    </w:p>
    <w:p w14:paraId="401629F8" w14:textId="77777777" w:rsidR="00ED6D16" w:rsidRPr="00ED6D16" w:rsidRDefault="00ED6D16" w:rsidP="00ED6D16">
      <w:pPr>
        <w:numPr>
          <w:ilvl w:val="0"/>
          <w:numId w:val="3"/>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Issue:</w:t>
      </w:r>
      <w:r w:rsidRPr="00ED6D16">
        <w:rPr>
          <w:rFonts w:ascii="Arial" w:eastAsia="Times New Roman" w:hAnsi="Arial" w:cs="Arial"/>
          <w:kern w:val="0"/>
          <w:sz w:val="24"/>
          <w:szCs w:val="24"/>
          <w:lang w:eastAsia="en-PH"/>
          <w14:ligatures w14:val="none"/>
        </w:rPr>
        <w:t xml:space="preserve"> In many traditional communities, customary laws prevent women from inheriting land. In the case of </w:t>
      </w:r>
      <w:r w:rsidRPr="00ED6D16">
        <w:rPr>
          <w:rFonts w:ascii="Arial" w:eastAsia="Times New Roman" w:hAnsi="Arial" w:cs="Arial"/>
          <w:i/>
          <w:iCs/>
          <w:kern w:val="0"/>
          <w:sz w:val="24"/>
          <w:szCs w:val="24"/>
          <w:lang w:eastAsia="en-PH"/>
          <w14:ligatures w14:val="none"/>
        </w:rPr>
        <w:t>E.S. and S.C. v. United Republic of Tanzania (2015)</w:t>
      </w:r>
      <w:r w:rsidRPr="00ED6D16">
        <w:rPr>
          <w:rFonts w:ascii="Arial" w:eastAsia="Times New Roman" w:hAnsi="Arial" w:cs="Arial"/>
          <w:kern w:val="0"/>
          <w:sz w:val="24"/>
          <w:szCs w:val="24"/>
          <w:lang w:eastAsia="en-PH"/>
          <w14:ligatures w14:val="none"/>
        </w:rPr>
        <w:t>, two widows were evicted from their homes by male relatives after their husbands died.</w:t>
      </w:r>
    </w:p>
    <w:p w14:paraId="2D54E7BC" w14:textId="77777777" w:rsidR="00ED6D16" w:rsidRPr="00ED6D16" w:rsidRDefault="00ED6D16" w:rsidP="00ED6D16">
      <w:pPr>
        <w:numPr>
          <w:ilvl w:val="0"/>
          <w:numId w:val="3"/>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CEDAW Action:</w:t>
      </w:r>
      <w:r w:rsidRPr="00ED6D16">
        <w:rPr>
          <w:rFonts w:ascii="Arial" w:eastAsia="Times New Roman" w:hAnsi="Arial" w:cs="Arial"/>
          <w:kern w:val="0"/>
          <w:sz w:val="24"/>
          <w:szCs w:val="24"/>
          <w:lang w:eastAsia="en-PH"/>
          <w14:ligatures w14:val="none"/>
        </w:rPr>
        <w:t xml:space="preserve"> The Committee invoked </w:t>
      </w:r>
      <w:r w:rsidRPr="00ED6D16">
        <w:rPr>
          <w:rFonts w:ascii="Arial" w:eastAsia="Times New Roman" w:hAnsi="Arial" w:cs="Arial"/>
          <w:b/>
          <w:bCs/>
          <w:kern w:val="0"/>
          <w:sz w:val="24"/>
          <w:szCs w:val="24"/>
          <w:lang w:eastAsia="en-PH"/>
          <w14:ligatures w14:val="none"/>
        </w:rPr>
        <w:t>Article 16</w:t>
      </w:r>
      <w:r w:rsidRPr="00ED6D16">
        <w:rPr>
          <w:rFonts w:ascii="Arial" w:eastAsia="Times New Roman" w:hAnsi="Arial" w:cs="Arial"/>
          <w:kern w:val="0"/>
          <w:sz w:val="24"/>
          <w:szCs w:val="24"/>
          <w:lang w:eastAsia="en-PH"/>
          <w14:ligatures w14:val="none"/>
        </w:rPr>
        <w:t xml:space="preserve"> (equality in marriage) and </w:t>
      </w:r>
      <w:r w:rsidRPr="00ED6D16">
        <w:rPr>
          <w:rFonts w:ascii="Arial" w:eastAsia="Times New Roman" w:hAnsi="Arial" w:cs="Arial"/>
          <w:b/>
          <w:bCs/>
          <w:kern w:val="0"/>
          <w:sz w:val="24"/>
          <w:szCs w:val="24"/>
          <w:lang w:eastAsia="en-PH"/>
          <w14:ligatures w14:val="none"/>
        </w:rPr>
        <w:t>Article 14</w:t>
      </w:r>
      <w:r w:rsidRPr="00ED6D16">
        <w:rPr>
          <w:rFonts w:ascii="Arial" w:eastAsia="Times New Roman" w:hAnsi="Arial" w:cs="Arial"/>
          <w:kern w:val="0"/>
          <w:sz w:val="24"/>
          <w:szCs w:val="24"/>
          <w:lang w:eastAsia="en-PH"/>
          <w14:ligatures w14:val="none"/>
        </w:rPr>
        <w:t xml:space="preserve"> (rights of rural women). They found that Tanzania’s customary inheritance laws were discriminatory.</w:t>
      </w:r>
    </w:p>
    <w:p w14:paraId="2D4AEC91" w14:textId="77777777" w:rsidR="00ED6D16" w:rsidRPr="00ED6D16" w:rsidRDefault="00ED6D16" w:rsidP="00ED6D16">
      <w:pPr>
        <w:numPr>
          <w:ilvl w:val="0"/>
          <w:numId w:val="3"/>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Result:</w:t>
      </w:r>
      <w:r w:rsidRPr="00ED6D16">
        <w:rPr>
          <w:rFonts w:ascii="Arial" w:eastAsia="Times New Roman" w:hAnsi="Arial" w:cs="Arial"/>
          <w:kern w:val="0"/>
          <w:sz w:val="24"/>
          <w:szCs w:val="24"/>
          <w:lang w:eastAsia="en-PH"/>
          <w14:ligatures w14:val="none"/>
        </w:rPr>
        <w:t xml:space="preserve"> The Committee called on Tanzania to repeal discriminatory inheritance laws. This case has since been used by activists across East Africa to push for "Constitutional Supremacy," ensuring that human rights treaties like CEDAW override discriminatory local customs.</w:t>
      </w:r>
    </w:p>
    <w:p w14:paraId="2E624547" w14:textId="77777777" w:rsidR="00ED6D16" w:rsidRPr="00ED6D16" w:rsidRDefault="00ED6D16" w:rsidP="00ED6D16">
      <w:pPr>
        <w:spacing w:after="100" w:afterAutospacing="1" w:line="240" w:lineRule="auto"/>
        <w:outlineLvl w:val="2"/>
        <w:rPr>
          <w:rFonts w:ascii="Arial" w:eastAsia="Times New Roman" w:hAnsi="Arial" w:cs="Arial"/>
          <w:b/>
          <w:bCs/>
          <w:kern w:val="0"/>
          <w:sz w:val="27"/>
          <w:szCs w:val="27"/>
          <w:lang w:eastAsia="en-PH"/>
          <w14:ligatures w14:val="none"/>
        </w:rPr>
      </w:pPr>
      <w:r w:rsidRPr="00ED6D16">
        <w:rPr>
          <w:rFonts w:ascii="Arial" w:eastAsia="Times New Roman" w:hAnsi="Arial" w:cs="Arial"/>
          <w:b/>
          <w:bCs/>
          <w:kern w:val="0"/>
          <w:sz w:val="27"/>
          <w:szCs w:val="27"/>
          <w:lang w:eastAsia="en-PH"/>
          <w14:ligatures w14:val="none"/>
        </w:rPr>
        <w:t>4. Challenging Gender Stereotypes in Rape Trials: The Philippines</w:t>
      </w:r>
    </w:p>
    <w:p w14:paraId="0B087D07" w14:textId="77777777" w:rsidR="00ED6D16" w:rsidRPr="00ED6D16" w:rsidRDefault="00ED6D16" w:rsidP="00ED6D16">
      <w:pPr>
        <w:numPr>
          <w:ilvl w:val="0"/>
          <w:numId w:val="4"/>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Issue:</w:t>
      </w:r>
      <w:r w:rsidRPr="00ED6D16">
        <w:rPr>
          <w:rFonts w:ascii="Arial" w:eastAsia="Times New Roman" w:hAnsi="Arial" w:cs="Arial"/>
          <w:kern w:val="0"/>
          <w:sz w:val="24"/>
          <w:szCs w:val="24"/>
          <w:lang w:eastAsia="en-PH"/>
          <w14:ligatures w14:val="none"/>
        </w:rPr>
        <w:t xml:space="preserve"> In </w:t>
      </w:r>
      <w:r w:rsidRPr="00ED6D16">
        <w:rPr>
          <w:rFonts w:ascii="Arial" w:eastAsia="Times New Roman" w:hAnsi="Arial" w:cs="Arial"/>
          <w:i/>
          <w:iCs/>
          <w:kern w:val="0"/>
          <w:sz w:val="24"/>
          <w:szCs w:val="24"/>
          <w:lang w:eastAsia="en-PH"/>
          <w14:ligatures w14:val="none"/>
        </w:rPr>
        <w:t xml:space="preserve">Karen Tayag </w:t>
      </w:r>
      <w:proofErr w:type="spellStart"/>
      <w:r w:rsidRPr="00ED6D16">
        <w:rPr>
          <w:rFonts w:ascii="Arial" w:eastAsia="Times New Roman" w:hAnsi="Arial" w:cs="Arial"/>
          <w:i/>
          <w:iCs/>
          <w:kern w:val="0"/>
          <w:sz w:val="24"/>
          <w:szCs w:val="24"/>
          <w:lang w:eastAsia="en-PH"/>
          <w14:ligatures w14:val="none"/>
        </w:rPr>
        <w:t>Vertido</w:t>
      </w:r>
      <w:proofErr w:type="spellEnd"/>
      <w:r w:rsidRPr="00ED6D16">
        <w:rPr>
          <w:rFonts w:ascii="Arial" w:eastAsia="Times New Roman" w:hAnsi="Arial" w:cs="Arial"/>
          <w:i/>
          <w:iCs/>
          <w:kern w:val="0"/>
          <w:sz w:val="24"/>
          <w:szCs w:val="24"/>
          <w:lang w:eastAsia="en-PH"/>
          <w14:ligatures w14:val="none"/>
        </w:rPr>
        <w:t xml:space="preserve"> v. The Philippines (2010)</w:t>
      </w:r>
      <w:r w:rsidRPr="00ED6D16">
        <w:rPr>
          <w:rFonts w:ascii="Arial" w:eastAsia="Times New Roman" w:hAnsi="Arial" w:cs="Arial"/>
          <w:kern w:val="0"/>
          <w:sz w:val="24"/>
          <w:szCs w:val="24"/>
          <w:lang w:eastAsia="en-PH"/>
          <w14:ligatures w14:val="none"/>
        </w:rPr>
        <w:t>, a court acquitted a man of rape because the victim "did not resist enough" and didn't act like a "stereotypical" rape victim.</w:t>
      </w:r>
    </w:p>
    <w:p w14:paraId="5FB12CEA" w14:textId="77777777" w:rsidR="00ED6D16" w:rsidRPr="00ED6D16" w:rsidRDefault="00ED6D16" w:rsidP="00ED6D16">
      <w:pPr>
        <w:numPr>
          <w:ilvl w:val="0"/>
          <w:numId w:val="4"/>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lastRenderedPageBreak/>
        <w:t>The CEDAW Action:</w:t>
      </w:r>
      <w:r w:rsidRPr="00ED6D16">
        <w:rPr>
          <w:rFonts w:ascii="Arial" w:eastAsia="Times New Roman" w:hAnsi="Arial" w:cs="Arial"/>
          <w:kern w:val="0"/>
          <w:sz w:val="24"/>
          <w:szCs w:val="24"/>
          <w:lang w:eastAsia="en-PH"/>
          <w14:ligatures w14:val="none"/>
        </w:rPr>
        <w:t xml:space="preserve"> The victim appealed to the CEDAW Committee. The Committee found that the trial judge’s decision was based on </w:t>
      </w:r>
      <w:r w:rsidRPr="00ED6D16">
        <w:rPr>
          <w:rFonts w:ascii="Arial" w:eastAsia="Times New Roman" w:hAnsi="Arial" w:cs="Arial"/>
          <w:b/>
          <w:bCs/>
          <w:kern w:val="0"/>
          <w:sz w:val="24"/>
          <w:szCs w:val="24"/>
          <w:lang w:eastAsia="en-PH"/>
          <w14:ligatures w14:val="none"/>
        </w:rPr>
        <w:t>gender-based myths and stereotypes</w:t>
      </w:r>
      <w:r w:rsidRPr="00ED6D16">
        <w:rPr>
          <w:rFonts w:ascii="Arial" w:eastAsia="Times New Roman" w:hAnsi="Arial" w:cs="Arial"/>
          <w:kern w:val="0"/>
          <w:sz w:val="24"/>
          <w:szCs w:val="24"/>
          <w:lang w:eastAsia="en-PH"/>
          <w14:ligatures w14:val="none"/>
        </w:rPr>
        <w:t xml:space="preserve"> (violating </w:t>
      </w:r>
      <w:r w:rsidRPr="00ED6D16">
        <w:rPr>
          <w:rFonts w:ascii="Arial" w:eastAsia="Times New Roman" w:hAnsi="Arial" w:cs="Arial"/>
          <w:b/>
          <w:bCs/>
          <w:kern w:val="0"/>
          <w:sz w:val="24"/>
          <w:szCs w:val="24"/>
          <w:lang w:eastAsia="en-PH"/>
          <w14:ligatures w14:val="none"/>
        </w:rPr>
        <w:t>Article 5</w:t>
      </w:r>
      <w:r w:rsidRPr="00ED6D16">
        <w:rPr>
          <w:rFonts w:ascii="Arial" w:eastAsia="Times New Roman" w:hAnsi="Arial" w:cs="Arial"/>
          <w:kern w:val="0"/>
          <w:sz w:val="24"/>
          <w:szCs w:val="24"/>
          <w:lang w:eastAsia="en-PH"/>
          <w14:ligatures w14:val="none"/>
        </w:rPr>
        <w:t>).</w:t>
      </w:r>
    </w:p>
    <w:p w14:paraId="2B14EFC4" w14:textId="77777777" w:rsidR="00ED6D16" w:rsidRPr="00ED6D16" w:rsidRDefault="00ED6D16" w:rsidP="00ED6D16">
      <w:pPr>
        <w:numPr>
          <w:ilvl w:val="0"/>
          <w:numId w:val="4"/>
        </w:numPr>
        <w:spacing w:after="100" w:afterAutospacing="1"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The Result:</w:t>
      </w:r>
      <w:r w:rsidRPr="00ED6D16">
        <w:rPr>
          <w:rFonts w:ascii="Arial" w:eastAsia="Times New Roman" w:hAnsi="Arial" w:cs="Arial"/>
          <w:kern w:val="0"/>
          <w:sz w:val="24"/>
          <w:szCs w:val="24"/>
          <w:lang w:eastAsia="en-PH"/>
          <w14:ligatures w14:val="none"/>
        </w:rPr>
        <w:t xml:space="preserve"> The Committee recommended that the Philippines provide the victim with compensation and—crucially—mandate </w:t>
      </w:r>
      <w:r w:rsidRPr="00ED6D16">
        <w:rPr>
          <w:rFonts w:ascii="Arial" w:eastAsia="Times New Roman" w:hAnsi="Arial" w:cs="Arial"/>
          <w:b/>
          <w:bCs/>
          <w:kern w:val="0"/>
          <w:sz w:val="24"/>
          <w:szCs w:val="24"/>
          <w:lang w:eastAsia="en-PH"/>
          <w14:ligatures w14:val="none"/>
        </w:rPr>
        <w:t>gender-sensitivity training</w:t>
      </w:r>
      <w:r w:rsidRPr="00ED6D16">
        <w:rPr>
          <w:rFonts w:ascii="Arial" w:eastAsia="Times New Roman" w:hAnsi="Arial" w:cs="Arial"/>
          <w:kern w:val="0"/>
          <w:sz w:val="24"/>
          <w:szCs w:val="24"/>
          <w:lang w:eastAsia="en-PH"/>
          <w14:ligatures w14:val="none"/>
        </w:rPr>
        <w:t xml:space="preserve"> for all judges and legal professionals to eliminate stereotyping in sexual assault cases.</w:t>
      </w:r>
    </w:p>
    <w:p w14:paraId="5D3EF51D"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Times New Roman" w:eastAsia="Times New Roman" w:hAnsi="Times New Roman" w:cs="Times New Roman"/>
          <w:kern w:val="0"/>
          <w:sz w:val="24"/>
          <w:szCs w:val="24"/>
          <w:lang w:eastAsia="en-PH"/>
          <w14:ligatures w14:val="none"/>
        </w:rPr>
        <w:pict w14:anchorId="60EAE8B3">
          <v:rect id="_x0000_i1025" style="width:0;height:1.5pt" o:hralign="center" o:hrstd="t" o:hr="t" fillcolor="#a0a0a0" stroked="f"/>
        </w:pict>
      </w:r>
    </w:p>
    <w:p w14:paraId="534E3B3E" w14:textId="77777777" w:rsidR="00ED6D16" w:rsidRPr="00ED6D16" w:rsidRDefault="00ED6D16" w:rsidP="00ED6D16">
      <w:pPr>
        <w:spacing w:after="100" w:afterAutospacing="1" w:line="240" w:lineRule="auto"/>
        <w:outlineLvl w:val="2"/>
        <w:rPr>
          <w:rFonts w:ascii="Arial" w:eastAsia="Times New Roman" w:hAnsi="Arial" w:cs="Arial"/>
          <w:b/>
          <w:bCs/>
          <w:kern w:val="0"/>
          <w:sz w:val="27"/>
          <w:szCs w:val="27"/>
          <w:lang w:eastAsia="en-PH"/>
          <w14:ligatures w14:val="none"/>
        </w:rPr>
      </w:pPr>
      <w:r w:rsidRPr="00ED6D16">
        <w:rPr>
          <w:rFonts w:ascii="Arial" w:eastAsia="Times New Roman" w:hAnsi="Arial" w:cs="Arial"/>
          <w:b/>
          <w:bCs/>
          <w:kern w:val="0"/>
          <w:sz w:val="27"/>
          <w:szCs w:val="27"/>
          <w:lang w:eastAsia="en-PH"/>
          <w14:ligatures w14:val="none"/>
        </w:rPr>
        <w:t>Summary Table of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6"/>
        <w:gridCol w:w="3016"/>
        <w:gridCol w:w="4942"/>
      </w:tblGrid>
      <w:tr w:rsidR="00ED6D16" w:rsidRPr="00ED6D16" w14:paraId="6DD5F58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438DF7"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Country</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A31C4"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Article Invoked</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421EA"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Primary Outcome</w:t>
            </w:r>
          </w:p>
        </w:tc>
      </w:tr>
      <w:tr w:rsidR="00ED6D16" w:rsidRPr="00ED6D16" w14:paraId="471F444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3A49D6"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Spain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F7D53"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kern w:val="0"/>
                <w:sz w:val="24"/>
                <w:szCs w:val="24"/>
                <w:lang w:eastAsia="en-PH"/>
                <w14:ligatures w14:val="none"/>
              </w:rPr>
              <w:t>General Recommendation 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77FD1"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kern w:val="0"/>
                <w:sz w:val="24"/>
                <w:szCs w:val="24"/>
                <w:lang w:eastAsia="en-PH"/>
                <w14:ligatures w14:val="none"/>
              </w:rPr>
              <w:t>Mandatory consideration of DV in custody cases.</w:t>
            </w:r>
          </w:p>
        </w:tc>
      </w:tr>
      <w:tr w:rsidR="00ED6D16" w:rsidRPr="00ED6D16" w14:paraId="441EB10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8B18FC"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Malaysia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A3013"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kern w:val="0"/>
                <w:sz w:val="24"/>
                <w:szCs w:val="24"/>
                <w:lang w:eastAsia="en-PH"/>
                <w14:ligatures w14:val="none"/>
              </w:rPr>
              <w:t>Article 11 (Employment)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3090A"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kern w:val="0"/>
                <w:sz w:val="24"/>
                <w:szCs w:val="24"/>
                <w:lang w:eastAsia="en-PH"/>
                <w14:ligatures w14:val="none"/>
              </w:rPr>
              <w:t>Legal precedent that pregnancy discrimination is illegal.</w:t>
            </w:r>
          </w:p>
        </w:tc>
      </w:tr>
      <w:tr w:rsidR="00ED6D16" w:rsidRPr="00ED6D16" w14:paraId="61D352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7B39A1"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Tanzania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EC3A2"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kern w:val="0"/>
                <w:sz w:val="24"/>
                <w:szCs w:val="24"/>
                <w:lang w:eastAsia="en-PH"/>
                <w14:ligatures w14:val="none"/>
              </w:rPr>
              <w:t>Articles 14 &amp; 16 (Rural/Family)</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3F825"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kern w:val="0"/>
                <w:sz w:val="24"/>
                <w:szCs w:val="24"/>
                <w:lang w:eastAsia="en-PH"/>
                <w14:ligatures w14:val="none"/>
              </w:rPr>
              <w:t>Challenge to customary laws that block inheritance.</w:t>
            </w:r>
          </w:p>
        </w:tc>
      </w:tr>
      <w:tr w:rsidR="00ED6D16" w:rsidRPr="00ED6D16" w14:paraId="273731A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052F32"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b/>
                <w:bCs/>
                <w:kern w:val="0"/>
                <w:sz w:val="24"/>
                <w:szCs w:val="24"/>
                <w:lang w:eastAsia="en-PH"/>
                <w14:ligatures w14:val="none"/>
              </w:rPr>
              <w:t>Philippines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046BC"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kern w:val="0"/>
                <w:sz w:val="24"/>
                <w:szCs w:val="24"/>
                <w:lang w:eastAsia="en-PH"/>
                <w14:ligatures w14:val="none"/>
              </w:rPr>
              <w:t>Article 5 (Stereotypes)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695A2" w14:textId="77777777" w:rsidR="00ED6D16" w:rsidRPr="00ED6D16" w:rsidRDefault="00ED6D16" w:rsidP="00ED6D16">
            <w:pPr>
              <w:spacing w:after="0" w:line="240" w:lineRule="auto"/>
              <w:rPr>
                <w:rFonts w:ascii="Arial" w:eastAsia="Times New Roman" w:hAnsi="Arial" w:cs="Arial"/>
                <w:kern w:val="0"/>
                <w:sz w:val="24"/>
                <w:szCs w:val="24"/>
                <w:lang w:eastAsia="en-PH"/>
                <w14:ligatures w14:val="none"/>
              </w:rPr>
            </w:pPr>
            <w:r w:rsidRPr="00ED6D16">
              <w:rPr>
                <w:rFonts w:ascii="Arial" w:eastAsia="Times New Roman" w:hAnsi="Arial" w:cs="Arial"/>
                <w:kern w:val="0"/>
                <w:sz w:val="24"/>
                <w:szCs w:val="24"/>
                <w:lang w:eastAsia="en-PH"/>
                <w14:ligatures w14:val="none"/>
              </w:rPr>
              <w:t>Reform of judicial training on sexual violence.</w:t>
            </w:r>
          </w:p>
        </w:tc>
      </w:tr>
    </w:tbl>
    <w:p w14:paraId="44450E8A" w14:textId="77777777" w:rsidR="007B154E" w:rsidRDefault="007B154E"/>
    <w:sectPr w:rsidR="007B1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01D2"/>
    <w:multiLevelType w:val="multilevel"/>
    <w:tmpl w:val="E704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02FBD"/>
    <w:multiLevelType w:val="multilevel"/>
    <w:tmpl w:val="428A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155B5"/>
    <w:multiLevelType w:val="multilevel"/>
    <w:tmpl w:val="81D8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73C10"/>
    <w:multiLevelType w:val="multilevel"/>
    <w:tmpl w:val="CE5E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323578">
    <w:abstractNumId w:val="2"/>
  </w:num>
  <w:num w:numId="2" w16cid:durableId="669874765">
    <w:abstractNumId w:val="0"/>
  </w:num>
  <w:num w:numId="3" w16cid:durableId="1214344619">
    <w:abstractNumId w:val="1"/>
  </w:num>
  <w:num w:numId="4" w16cid:durableId="1558204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16"/>
    <w:rsid w:val="0001288E"/>
    <w:rsid w:val="0047645C"/>
    <w:rsid w:val="005A3475"/>
    <w:rsid w:val="007B154E"/>
    <w:rsid w:val="008807A1"/>
    <w:rsid w:val="00ED6D1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87C0"/>
  <w15:chartTrackingRefBased/>
  <w15:docId w15:val="{95BF2B6A-F71E-49F0-AE21-2042C249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D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D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D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D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D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D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D16"/>
    <w:rPr>
      <w:rFonts w:eastAsiaTheme="majorEastAsia" w:cstheme="majorBidi"/>
      <w:color w:val="272727" w:themeColor="text1" w:themeTint="D8"/>
    </w:rPr>
  </w:style>
  <w:style w:type="paragraph" w:styleId="Title">
    <w:name w:val="Title"/>
    <w:basedOn w:val="Normal"/>
    <w:next w:val="Normal"/>
    <w:link w:val="TitleChar"/>
    <w:uiPriority w:val="10"/>
    <w:qFormat/>
    <w:rsid w:val="00ED6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16"/>
    <w:pPr>
      <w:spacing w:before="160"/>
      <w:jc w:val="center"/>
    </w:pPr>
    <w:rPr>
      <w:i/>
      <w:iCs/>
      <w:color w:val="404040" w:themeColor="text1" w:themeTint="BF"/>
    </w:rPr>
  </w:style>
  <w:style w:type="character" w:customStyle="1" w:styleId="QuoteChar">
    <w:name w:val="Quote Char"/>
    <w:basedOn w:val="DefaultParagraphFont"/>
    <w:link w:val="Quote"/>
    <w:uiPriority w:val="29"/>
    <w:rsid w:val="00ED6D16"/>
    <w:rPr>
      <w:i/>
      <w:iCs/>
      <w:color w:val="404040" w:themeColor="text1" w:themeTint="BF"/>
    </w:rPr>
  </w:style>
  <w:style w:type="paragraph" w:styleId="ListParagraph">
    <w:name w:val="List Paragraph"/>
    <w:basedOn w:val="Normal"/>
    <w:uiPriority w:val="34"/>
    <w:qFormat/>
    <w:rsid w:val="00ED6D16"/>
    <w:pPr>
      <w:ind w:left="720"/>
      <w:contextualSpacing/>
    </w:pPr>
  </w:style>
  <w:style w:type="character" w:styleId="IntenseEmphasis">
    <w:name w:val="Intense Emphasis"/>
    <w:basedOn w:val="DefaultParagraphFont"/>
    <w:uiPriority w:val="21"/>
    <w:qFormat/>
    <w:rsid w:val="00ED6D16"/>
    <w:rPr>
      <w:i/>
      <w:iCs/>
      <w:color w:val="2F5496" w:themeColor="accent1" w:themeShade="BF"/>
    </w:rPr>
  </w:style>
  <w:style w:type="paragraph" w:styleId="IntenseQuote">
    <w:name w:val="Intense Quote"/>
    <w:basedOn w:val="Normal"/>
    <w:next w:val="Normal"/>
    <w:link w:val="IntenseQuoteChar"/>
    <w:uiPriority w:val="30"/>
    <w:qFormat/>
    <w:rsid w:val="00ED6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D16"/>
    <w:rPr>
      <w:i/>
      <w:iCs/>
      <w:color w:val="2F5496" w:themeColor="accent1" w:themeShade="BF"/>
    </w:rPr>
  </w:style>
  <w:style w:type="character" w:styleId="IntenseReference">
    <w:name w:val="Intense Reference"/>
    <w:basedOn w:val="DefaultParagraphFont"/>
    <w:uiPriority w:val="32"/>
    <w:qFormat/>
    <w:rsid w:val="00ED6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Prideaux-Brune</dc:creator>
  <cp:keywords/>
  <dc:description/>
  <cp:lastModifiedBy>John Prideaux-Brune</cp:lastModifiedBy>
  <cp:revision>1</cp:revision>
  <dcterms:created xsi:type="dcterms:W3CDTF">2026-01-02T12:10:00Z</dcterms:created>
  <dcterms:modified xsi:type="dcterms:W3CDTF">2026-01-02T12:11:00Z</dcterms:modified>
</cp:coreProperties>
</file>