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CC7A" w14:textId="77777777" w:rsidR="00712EF4" w:rsidRPr="00712EF4" w:rsidRDefault="00712EF4" w:rsidP="00712E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712E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t>1. The "Derogation Debate" (Roleplay)</w:t>
      </w:r>
    </w:p>
    <w:p w14:paraId="7E383461" w14:textId="77777777" w:rsidR="00712EF4" w:rsidRDefault="00712EF4" w:rsidP="00712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40271B8B" w14:textId="6CCFE2AF" w:rsidR="00712EF4" w:rsidRPr="00712EF4" w:rsidRDefault="00712EF4" w:rsidP="00712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12EF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This activity helps students understand </w:t>
      </w:r>
      <w:r w:rsidRPr="00712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Article 4</w:t>
      </w:r>
      <w:r w:rsidRPr="00712EF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and the tension between national security and human rights.</w:t>
      </w:r>
    </w:p>
    <w:p w14:paraId="6D21EF01" w14:textId="77777777" w:rsidR="00712EF4" w:rsidRDefault="00712EF4" w:rsidP="00712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</w:pPr>
    </w:p>
    <w:p w14:paraId="37587851" w14:textId="4D3E6127" w:rsidR="00712EF4" w:rsidRDefault="00712EF4" w:rsidP="00712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12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Scenario:</w:t>
      </w:r>
      <w:r w:rsidRPr="00712EF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A hypothetical nation is facing a severe public health crisis or a civil uprising. The government proposes a "State of Emergency" that suspends the right to peaceful assembly, freedom of movement, and the right to a fair trial.</w:t>
      </w:r>
    </w:p>
    <w:p w14:paraId="25D4D4E3" w14:textId="77777777" w:rsidR="00712EF4" w:rsidRPr="00712EF4" w:rsidRDefault="00712EF4" w:rsidP="00712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580C8694" w14:textId="77777777" w:rsidR="00712EF4" w:rsidRPr="00712EF4" w:rsidRDefault="00712EF4" w:rsidP="00712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12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Task:</w:t>
      </w:r>
      <w:r w:rsidRPr="00712EF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Divide the class into three groups:</w:t>
      </w:r>
    </w:p>
    <w:p w14:paraId="6F6BAF97" w14:textId="6240581D" w:rsidR="00712EF4" w:rsidRDefault="00712EF4" w:rsidP="00712E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12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Government Representatives:</w:t>
      </w:r>
      <w:r w:rsidRPr="00712EF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Argue why these measures are "strictly required by the exigencies of the situation."</w:t>
      </w:r>
    </w:p>
    <w:p w14:paraId="4BD33015" w14:textId="77777777" w:rsidR="00712EF4" w:rsidRPr="00712EF4" w:rsidRDefault="00712EF4" w:rsidP="00712E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5BBE0B3" w14:textId="4DFF1143" w:rsidR="00712EF4" w:rsidRDefault="00712EF4" w:rsidP="00712E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12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Human Rights Advocates:</w:t>
      </w:r>
      <w:r w:rsidRPr="00712EF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Argue which rights are non-</w:t>
      </w:r>
      <w:proofErr w:type="spellStart"/>
      <w:r w:rsidRPr="00712EF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derogable</w:t>
      </w:r>
      <w:proofErr w:type="spellEnd"/>
      <w:r w:rsidRPr="00712EF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and why the proposed measures are disproportionate.</w:t>
      </w:r>
    </w:p>
    <w:p w14:paraId="142D81F7" w14:textId="77777777" w:rsidR="00712EF4" w:rsidRPr="00712EF4" w:rsidRDefault="00712EF4" w:rsidP="00712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13A7DE44" w14:textId="77777777" w:rsidR="00712EF4" w:rsidRPr="00712EF4" w:rsidRDefault="00712EF4" w:rsidP="00712E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12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Human Rights Committee:</w:t>
      </w:r>
      <w:r w:rsidRPr="00712EF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Act as the judges who decide if the state’s derogation notice is legally valid under the ICCPR.</w:t>
      </w:r>
    </w:p>
    <w:p w14:paraId="7FB7F921" w14:textId="77777777" w:rsidR="007B154E" w:rsidRDefault="007B154E"/>
    <w:sectPr w:rsidR="007B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C50D1"/>
    <w:multiLevelType w:val="multilevel"/>
    <w:tmpl w:val="0DF6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57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F4"/>
    <w:rsid w:val="0001288E"/>
    <w:rsid w:val="0047645C"/>
    <w:rsid w:val="005A3475"/>
    <w:rsid w:val="00712EF4"/>
    <w:rsid w:val="007B154E"/>
    <w:rsid w:val="008B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832E"/>
  <w15:chartTrackingRefBased/>
  <w15:docId w15:val="{1A18D15B-428D-4196-B510-93CC627F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E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E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E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E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1</cp:revision>
  <dcterms:created xsi:type="dcterms:W3CDTF">2025-12-28T14:39:00Z</dcterms:created>
  <dcterms:modified xsi:type="dcterms:W3CDTF">2025-12-28T14:41:00Z</dcterms:modified>
</cp:coreProperties>
</file>