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A149" w14:textId="77777777" w:rsidR="00790414" w:rsidRPr="00790414" w:rsidRDefault="00790414" w:rsidP="00790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  <w:t>1. Why hasn't the United States ratified CEDAW?</w:t>
      </w:r>
    </w:p>
    <w:p w14:paraId="678648C8" w14:textId="77777777" w:rsidR="00790414" w:rsidRPr="00790414" w:rsidRDefault="00790414" w:rsidP="00790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Answer: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The U.S. is the only industrialized democracy that hasn’t ratified it. The primary obstacles are political and legal:</w:t>
      </w:r>
    </w:p>
    <w:p w14:paraId="25A303A3" w14:textId="77777777" w:rsidR="00790414" w:rsidRPr="00790414" w:rsidRDefault="00790414" w:rsidP="007904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Sovereignty: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Some legislators fear that an international committee would interfere with U.S. domestic law.</w:t>
      </w:r>
    </w:p>
    <w:p w14:paraId="79CF5C07" w14:textId="77777777" w:rsidR="00790414" w:rsidRPr="00790414" w:rsidRDefault="00790414" w:rsidP="007904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Federalism: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Since many areas covered by CEDAW (like family law) are handled at the state level, there is debate over whether the federal government has the authority to mandate these changes.</w:t>
      </w:r>
    </w:p>
    <w:p w14:paraId="230A7440" w14:textId="77777777" w:rsidR="00790414" w:rsidRPr="00790414" w:rsidRDefault="00790414" w:rsidP="007904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Redundancy: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Opponents often argue that the U.S. Constitution and existing laws (like Title IX) already provide sufficient protection.</w:t>
      </w:r>
    </w:p>
    <w:p w14:paraId="631A90E4" w14:textId="77777777" w:rsidR="00790414" w:rsidRPr="00790414" w:rsidRDefault="00790414" w:rsidP="00790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  <w:t>2. How can a treaty be effective if countries can just "opt-out" using reservations?</w:t>
      </w:r>
    </w:p>
    <w:p w14:paraId="0D356C46" w14:textId="77777777" w:rsidR="00790414" w:rsidRPr="00790414" w:rsidRDefault="00790414" w:rsidP="00790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Answer: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While reservations are a challenge, they don't make the treaty toothless.</w:t>
      </w:r>
    </w:p>
    <w:p w14:paraId="55876D0E" w14:textId="77777777" w:rsidR="00790414" w:rsidRPr="00790414" w:rsidRDefault="00790414" w:rsidP="007904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Foot in the Door: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Ratification—even with reservations—brings a country into the UN reporting cycle. Every four years, they must face the Committee and justify those reservations.</w:t>
      </w:r>
    </w:p>
    <w:p w14:paraId="476F91B2" w14:textId="77777777" w:rsidR="00790414" w:rsidRPr="00790414" w:rsidRDefault="00790414" w:rsidP="007904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Internal Pressure: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Local activists use the fact that their country signed the treaty to lobby for the withdrawal of reservations over time (as seen in Morocco and Tunisia).</w:t>
      </w:r>
    </w:p>
    <w:p w14:paraId="1E352AD0" w14:textId="77777777" w:rsidR="00790414" w:rsidRPr="00790414" w:rsidRDefault="00790414" w:rsidP="007904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International Norms: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It sets a global standard. When a country holds a reservation, they are publicly signaling where they fall short of international norms, which creates diplomatic pressure.</w:t>
      </w:r>
    </w:p>
    <w:p w14:paraId="78B83C89" w14:textId="77777777" w:rsidR="00790414" w:rsidRPr="00790414" w:rsidRDefault="00790414" w:rsidP="00790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  <w:t>3. Does CEDAW force countries to change their religious or cultural traditions?</w:t>
      </w:r>
    </w:p>
    <w:p w14:paraId="4EF73ED7" w14:textId="77777777" w:rsidR="00790414" w:rsidRPr="00790414" w:rsidRDefault="00790414" w:rsidP="00790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Answer: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CEDAW’s goal is to ensure that culture and religion are not used as excuses to violate fundamental human rights.</w:t>
      </w:r>
    </w:p>
    <w:p w14:paraId="7E32ADAC" w14:textId="77777777" w:rsidR="00790414" w:rsidRPr="00790414" w:rsidRDefault="00790414" w:rsidP="007904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Article 5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specifically asks states to work toward changing social and cultural patterns that rely on the idea of the inferiority of women.</w:t>
      </w:r>
    </w:p>
    <w:p w14:paraId="793D8B14" w14:textId="77777777" w:rsidR="00790414" w:rsidRPr="00790414" w:rsidRDefault="00790414" w:rsidP="007904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The Committee generally encourages "internal reform"—working with progressive religious scholars and local leaders to show that equality and tradition can coexist.</w:t>
      </w:r>
    </w:p>
    <w:p w14:paraId="490D782C" w14:textId="77777777" w:rsidR="00790414" w:rsidRPr="00790414" w:rsidRDefault="00790414" w:rsidP="00790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  <w:t>4. Does CEDAW address the rights of Transgender women or non-binary individuals?</w:t>
      </w:r>
    </w:p>
    <w:p w14:paraId="24C81E35" w14:textId="77777777" w:rsidR="00790414" w:rsidRPr="00790414" w:rsidRDefault="00790414" w:rsidP="00790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Answer: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The original 1979 text uses "women" and "sex" in a binary context. However, the CEDAW Committee is a "living" body.</w:t>
      </w:r>
    </w:p>
    <w:p w14:paraId="2C3B9226" w14:textId="77777777" w:rsidR="00790414" w:rsidRPr="00790414" w:rsidRDefault="00790414" w:rsidP="007904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In recent years, through </w:t>
      </w: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General Recommendations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, the Committee has clarified that discrimination can be "intersectional."</w:t>
      </w:r>
    </w:p>
    <w:p w14:paraId="04628CCE" w14:textId="77777777" w:rsidR="00790414" w:rsidRPr="00790414" w:rsidRDefault="00790414" w:rsidP="007904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lastRenderedPageBreak/>
        <w:t>They have increasingly addressed the specific vulnerabilities of LBT (Lesbian, Bisexual, and Transgender) women, noting that they face compounded discrimination that falls under the protection of the Convention.</w:t>
      </w:r>
    </w:p>
    <w:p w14:paraId="53C07BDF" w14:textId="77777777" w:rsidR="00790414" w:rsidRPr="00790414" w:rsidRDefault="00790414" w:rsidP="00790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  <w:t>5. What happens if a country simply ignores the Committee’s recommendations?</w:t>
      </w:r>
    </w:p>
    <w:p w14:paraId="1A5D0D54" w14:textId="77777777" w:rsidR="00790414" w:rsidRPr="00790414" w:rsidRDefault="00790414" w:rsidP="00790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Answer: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International law lacks a "global police force," so there are no physical sanctions. Instead, the consequences are:</w:t>
      </w:r>
    </w:p>
    <w:p w14:paraId="7ED517E5" w14:textId="77777777" w:rsidR="00790414" w:rsidRPr="00790414" w:rsidRDefault="00790414" w:rsidP="007904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Reputational Cost: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Countries care about their "human rights profile" for trade deals, foreign aid, and diplomatic standing.</w:t>
      </w:r>
    </w:p>
    <w:p w14:paraId="500297DD" w14:textId="77777777" w:rsidR="00790414" w:rsidRPr="00790414" w:rsidRDefault="00790414" w:rsidP="007904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Shadow Report Effect: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If a government ignores the Committee, NGOs use that "failure to comply" to mobilize the public and shame the government domestically.</w:t>
      </w:r>
    </w:p>
    <w:p w14:paraId="0E88D3E0" w14:textId="77777777" w:rsidR="00790414" w:rsidRPr="00790414" w:rsidRDefault="00790414" w:rsidP="007904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Legal Precedent: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Domestic lawyers often cite the Committee’s findings in local courts to win cases, even if the national government is being stubborn.</w:t>
      </w:r>
    </w:p>
    <w:p w14:paraId="32350301" w14:textId="77777777" w:rsidR="00790414" w:rsidRPr="00790414" w:rsidRDefault="00790414" w:rsidP="00790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  <w:t>6. Is CEDAW still relevant in the age of digital technology and AI?</w:t>
      </w:r>
    </w:p>
    <w:p w14:paraId="36C113E8" w14:textId="77777777" w:rsidR="00790414" w:rsidRPr="00790414" w:rsidRDefault="00790414" w:rsidP="00790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Answer: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Absolutely. The Committee recently issued </w:t>
      </w: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General Recommendation No. 38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, which deals with the trafficking of women in the context of global migration and digital recruitment. They are also increasingly looking at:</w:t>
      </w:r>
    </w:p>
    <w:p w14:paraId="28257D41" w14:textId="77777777" w:rsidR="00790414" w:rsidRPr="00790414" w:rsidRDefault="00790414" w:rsidP="007904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The gender "digital divide."</w:t>
      </w:r>
    </w:p>
    <w:p w14:paraId="4142F583" w14:textId="77777777" w:rsidR="00790414" w:rsidRPr="00790414" w:rsidRDefault="00790414" w:rsidP="007904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Online gender-based violence (cyberstalking and harassment).</w:t>
      </w:r>
    </w:p>
    <w:p w14:paraId="40D186B2" w14:textId="77777777" w:rsidR="00790414" w:rsidRPr="00790414" w:rsidRDefault="00790414" w:rsidP="007904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Algorithmic bias that might discriminate against women in hiring or credit scoring.</w:t>
      </w:r>
    </w:p>
    <w:p w14:paraId="545ED106" w14:textId="77777777" w:rsidR="007B154E" w:rsidRDefault="007B154E"/>
    <w:p w14:paraId="25211A3B" w14:textId="77777777" w:rsidR="00790414" w:rsidRDefault="00790414"/>
    <w:p w14:paraId="70DD71DE" w14:textId="77777777" w:rsidR="00790414" w:rsidRPr="00790414" w:rsidRDefault="00790414" w:rsidP="00790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This Quick Reference Sheet provides the essential data, key dates, and a "cheat sheet" of current information for your presentation.</w:t>
      </w:r>
    </w:p>
    <w:p w14:paraId="7A664735" w14:textId="77777777" w:rsidR="00790414" w:rsidRPr="00790414" w:rsidRDefault="00790414" w:rsidP="007904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pict w14:anchorId="1D7A6EBE">
          <v:rect id="_x0000_i1025" style="width:0;height:1.5pt" o:hralign="center" o:hrstd="t" o:hr="t" fillcolor="#a0a0a0" stroked="f"/>
        </w:pict>
      </w:r>
    </w:p>
    <w:p w14:paraId="40C6BC4E" w14:textId="77777777" w:rsidR="00790414" w:rsidRPr="00790414" w:rsidRDefault="00790414" w:rsidP="007904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CEDAW Fact Sheet (As of 2025)</w:t>
      </w:r>
    </w:p>
    <w:p w14:paraId="2332E683" w14:textId="77777777" w:rsidR="00790414" w:rsidRPr="00790414" w:rsidRDefault="00790414" w:rsidP="00790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  <w:t>The Numbers</w:t>
      </w:r>
    </w:p>
    <w:p w14:paraId="72C1F1D3" w14:textId="77777777" w:rsidR="00790414" w:rsidRPr="00790414" w:rsidRDefault="00790414" w:rsidP="007904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189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: Number of States Parties (countries that have ratified or acceded to the treaty).</w:t>
      </w:r>
    </w:p>
    <w:p w14:paraId="15671B60" w14:textId="77777777" w:rsidR="00790414" w:rsidRPr="00790414" w:rsidRDefault="00790414" w:rsidP="007904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23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: Independent experts serving on the CEDAW Committee.</w:t>
      </w:r>
    </w:p>
    <w:p w14:paraId="2F91DEC2" w14:textId="77777777" w:rsidR="00790414" w:rsidRPr="00790414" w:rsidRDefault="00790414" w:rsidP="007904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115+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: Parties to the </w:t>
      </w: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Optional Protocol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(allowing individuals to file complaints).</w:t>
      </w:r>
    </w:p>
    <w:p w14:paraId="0A1B8AC0" w14:textId="77777777" w:rsidR="00790414" w:rsidRPr="00790414" w:rsidRDefault="00790414" w:rsidP="007904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4 Years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: Frequency at which countries are required to submit progress reports.</w:t>
      </w:r>
    </w:p>
    <w:p w14:paraId="5DA6AC28" w14:textId="77777777" w:rsidR="00790414" w:rsidRPr="00790414" w:rsidRDefault="00790414" w:rsidP="007904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30+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: Number of </w:t>
      </w: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General Recommendations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issued by the Committee to interpret the treaty for modern challenges.</w:t>
      </w:r>
    </w:p>
    <w:p w14:paraId="5E277483" w14:textId="77777777" w:rsidR="00790414" w:rsidRPr="00790414" w:rsidRDefault="00790414" w:rsidP="00790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  <w:lastRenderedPageBreak/>
        <w:t>Key Historic Dates</w:t>
      </w:r>
    </w:p>
    <w:p w14:paraId="2AADBAB4" w14:textId="77777777" w:rsidR="00790414" w:rsidRPr="00790414" w:rsidRDefault="00790414" w:rsidP="007904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December 18, 1979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: Adopted by the UN General Assembly.</w:t>
      </w:r>
    </w:p>
    <w:p w14:paraId="65E0618E" w14:textId="77777777" w:rsidR="00790414" w:rsidRPr="00790414" w:rsidRDefault="00790414" w:rsidP="007904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September 3, 1981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: Entered into force (faster than any previous human rights treaty).</w:t>
      </w:r>
    </w:p>
    <w:p w14:paraId="6C0B8071" w14:textId="77777777" w:rsidR="00790414" w:rsidRPr="00790414" w:rsidRDefault="00790414" w:rsidP="007904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1992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: </w:t>
      </w: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General Recommendation No. 19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officially includes "Violence Against Women" as a form of discrimination.</w:t>
      </w:r>
    </w:p>
    <w:p w14:paraId="104B528F" w14:textId="77777777" w:rsidR="00790414" w:rsidRPr="00790414" w:rsidRDefault="00790414" w:rsidP="007904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1999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: Adoption of the </w:t>
      </w: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Optional Protocol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, giving the treaty "legal teeth" for individuals.</w:t>
      </w:r>
    </w:p>
    <w:p w14:paraId="34AAF3D1" w14:textId="77777777" w:rsidR="00790414" w:rsidRPr="00790414" w:rsidRDefault="00790414" w:rsidP="007904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2017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: </w:t>
      </w: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General Recommendation No. 35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updates the framework on gender-based violence, making it a matter of international customary law.</w:t>
      </w:r>
    </w:p>
    <w:p w14:paraId="1D5877CA" w14:textId="77777777" w:rsidR="00790414" w:rsidRPr="00790414" w:rsidRDefault="00790414" w:rsidP="007904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pict w14:anchorId="7CF731EE">
          <v:rect id="_x0000_i1026" style="width:0;height:1.5pt" o:hralign="center" o:hrstd="t" o:hr="t" fillcolor="#a0a0a0" stroked="f"/>
        </w:pict>
      </w:r>
    </w:p>
    <w:p w14:paraId="65F83235" w14:textId="77777777" w:rsidR="00790414" w:rsidRPr="00790414" w:rsidRDefault="00790414" w:rsidP="00790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  <w:t>Status of "The Holdouts" (Non-Ratifiers)</w:t>
      </w:r>
    </w:p>
    <w:p w14:paraId="7DAB136F" w14:textId="77777777" w:rsidR="00790414" w:rsidRPr="00790414" w:rsidRDefault="00790414" w:rsidP="00790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As of late 2025, a small group of nations has still not ratified the Convention:</w:t>
      </w:r>
    </w:p>
    <w:p w14:paraId="27159704" w14:textId="77777777" w:rsidR="00790414" w:rsidRPr="00790414" w:rsidRDefault="00790414" w:rsidP="007904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United States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: Has signed (1980) but never ratified.</w:t>
      </w:r>
    </w:p>
    <w:p w14:paraId="024F3A84" w14:textId="77777777" w:rsidR="00790414" w:rsidRPr="00790414" w:rsidRDefault="00790414" w:rsidP="007904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Iran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: Neither signed nor ratified.</w:t>
      </w:r>
    </w:p>
    <w:p w14:paraId="34848710" w14:textId="77777777" w:rsidR="00790414" w:rsidRPr="00790414" w:rsidRDefault="00790414" w:rsidP="007904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Sudan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: Neither signed nor ratified.</w:t>
      </w:r>
    </w:p>
    <w:p w14:paraId="5B3E31A0" w14:textId="77777777" w:rsidR="00790414" w:rsidRPr="00790414" w:rsidRDefault="00790414" w:rsidP="007904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Somalia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: Neither signed nor ratified.</w:t>
      </w:r>
    </w:p>
    <w:p w14:paraId="7C02BC89" w14:textId="77777777" w:rsidR="00790414" w:rsidRPr="00790414" w:rsidRDefault="00790414" w:rsidP="007904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Tonga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: Neither signed nor ratified.</w:t>
      </w:r>
    </w:p>
    <w:p w14:paraId="1007C5D0" w14:textId="77777777" w:rsidR="00790414" w:rsidRPr="00790414" w:rsidRDefault="00790414" w:rsidP="007904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Holy See (Vatican City)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: Neither signed nor ratified.</w:t>
      </w:r>
    </w:p>
    <w:p w14:paraId="153C81B9" w14:textId="77777777" w:rsidR="00790414" w:rsidRPr="00790414" w:rsidRDefault="00790414" w:rsidP="007904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pict w14:anchorId="32437F88">
          <v:rect id="_x0000_i1027" style="width:0;height:1.5pt" o:hralign="center" o:hrstd="t" o:hr="t" fillcolor="#a0a0a0" stroked="f"/>
        </w:pict>
      </w:r>
    </w:p>
    <w:p w14:paraId="4D4962C9" w14:textId="77777777" w:rsidR="00790414" w:rsidRPr="00790414" w:rsidRDefault="00790414" w:rsidP="00790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  <w:t>The "Big 3" General Recommendations (For Q&amp;A)</w:t>
      </w:r>
    </w:p>
    <w:p w14:paraId="135F84ED" w14:textId="77777777" w:rsidR="00790414" w:rsidRPr="00790414" w:rsidRDefault="00790414" w:rsidP="00790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If someone asks how the treaty stays relevant, cite these:</w:t>
      </w:r>
    </w:p>
    <w:p w14:paraId="527B2BA6" w14:textId="77777777" w:rsidR="00790414" w:rsidRPr="00790414" w:rsidRDefault="00790414" w:rsidP="007904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GR 35 (Violence):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Establishes that states are responsible not just for their own actions, but for failing to prevent violence by private citizens.</w:t>
      </w:r>
    </w:p>
    <w:p w14:paraId="5A4657F2" w14:textId="77777777" w:rsidR="00790414" w:rsidRPr="00790414" w:rsidRDefault="00790414" w:rsidP="007904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GR 39 (Indigenous Women):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The first global instrument to specifically focus on the rights of Indigenous women and girls.</w:t>
      </w:r>
    </w:p>
    <w:p w14:paraId="57A8B42E" w14:textId="77777777" w:rsidR="00790414" w:rsidRPr="00790414" w:rsidRDefault="00790414" w:rsidP="007904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GR 40 (Decision-Making):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A recent focus area emphasizing "Equal and Inclusive Representation" in both public and private leadership.</w:t>
      </w:r>
    </w:p>
    <w:p w14:paraId="7E153DAC" w14:textId="77777777" w:rsidR="00790414" w:rsidRPr="00790414" w:rsidRDefault="00790414" w:rsidP="007904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pict w14:anchorId="628058D9">
          <v:rect id="_x0000_i1028" style="width:0;height:1.5pt" o:hralign="center" o:hrstd="t" o:hr="t" fillcolor="#a0a0a0" stroked="f"/>
        </w:pict>
      </w:r>
    </w:p>
    <w:p w14:paraId="0FEBDE15" w14:textId="77777777" w:rsidR="00790414" w:rsidRPr="00790414" w:rsidRDefault="00790414" w:rsidP="00790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  <w:t>Current Leadership (2025 Term)</w:t>
      </w:r>
    </w:p>
    <w:p w14:paraId="66B38300" w14:textId="77777777" w:rsidR="00790414" w:rsidRPr="00790414" w:rsidRDefault="00790414" w:rsidP="007904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Chairperson: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Ms. Nahla Haidar (Lebanon).</w:t>
      </w:r>
    </w:p>
    <w:p w14:paraId="0FB579C2" w14:textId="77777777" w:rsidR="00790414" w:rsidRPr="00790414" w:rsidRDefault="00790414" w:rsidP="007904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Selected Experts: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The Committee includes experts from diverse legal backgrounds, including </w:t>
      </w: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Natasha Stott Despoja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(Australia), </w:t>
      </w:r>
      <w:r w:rsidRPr="00790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Ana Peláez Narváez</w:t>
      </w:r>
      <w:r w:rsidRPr="00790414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(Spain—the first woman with a disability on the committee), and members from China, Egypt, and Barbados.</w:t>
      </w:r>
    </w:p>
    <w:p w14:paraId="23EA4E95" w14:textId="77777777" w:rsidR="00790414" w:rsidRDefault="00790414"/>
    <w:sectPr w:rsidR="00790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16AF"/>
    <w:multiLevelType w:val="multilevel"/>
    <w:tmpl w:val="FEC6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D212E"/>
    <w:multiLevelType w:val="multilevel"/>
    <w:tmpl w:val="25BA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40EAC"/>
    <w:multiLevelType w:val="multilevel"/>
    <w:tmpl w:val="01BA8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C010D4"/>
    <w:multiLevelType w:val="multilevel"/>
    <w:tmpl w:val="74C2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F29A6"/>
    <w:multiLevelType w:val="multilevel"/>
    <w:tmpl w:val="F41E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E1FE7"/>
    <w:multiLevelType w:val="multilevel"/>
    <w:tmpl w:val="5BE4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85054"/>
    <w:multiLevelType w:val="multilevel"/>
    <w:tmpl w:val="E05C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1F3161"/>
    <w:multiLevelType w:val="multilevel"/>
    <w:tmpl w:val="3D0E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245325"/>
    <w:multiLevelType w:val="multilevel"/>
    <w:tmpl w:val="D088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C6227D"/>
    <w:multiLevelType w:val="multilevel"/>
    <w:tmpl w:val="B900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B9223F"/>
    <w:multiLevelType w:val="multilevel"/>
    <w:tmpl w:val="29D8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381643">
    <w:abstractNumId w:val="5"/>
  </w:num>
  <w:num w:numId="2" w16cid:durableId="134833509">
    <w:abstractNumId w:val="10"/>
  </w:num>
  <w:num w:numId="3" w16cid:durableId="761419134">
    <w:abstractNumId w:val="1"/>
  </w:num>
  <w:num w:numId="4" w16cid:durableId="1190727402">
    <w:abstractNumId w:val="0"/>
  </w:num>
  <w:num w:numId="5" w16cid:durableId="1142388304">
    <w:abstractNumId w:val="8"/>
  </w:num>
  <w:num w:numId="6" w16cid:durableId="1666474369">
    <w:abstractNumId w:val="4"/>
  </w:num>
  <w:num w:numId="7" w16cid:durableId="1017273869">
    <w:abstractNumId w:val="9"/>
  </w:num>
  <w:num w:numId="8" w16cid:durableId="1367681744">
    <w:abstractNumId w:val="7"/>
  </w:num>
  <w:num w:numId="9" w16cid:durableId="1577280179">
    <w:abstractNumId w:val="3"/>
  </w:num>
  <w:num w:numId="10" w16cid:durableId="1300309019">
    <w:abstractNumId w:val="2"/>
  </w:num>
  <w:num w:numId="11" w16cid:durableId="146366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14"/>
    <w:rsid w:val="0001288E"/>
    <w:rsid w:val="0047645C"/>
    <w:rsid w:val="005A3475"/>
    <w:rsid w:val="00790414"/>
    <w:rsid w:val="007B154E"/>
    <w:rsid w:val="007B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B134C"/>
  <w15:chartTrackingRefBased/>
  <w15:docId w15:val="{E2C06099-768B-4260-9A03-15399B8E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4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4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4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4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4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4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4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Prideaux-Brune</dc:creator>
  <cp:keywords/>
  <dc:description/>
  <cp:lastModifiedBy>John Prideaux-Brune</cp:lastModifiedBy>
  <cp:revision>1</cp:revision>
  <dcterms:created xsi:type="dcterms:W3CDTF">2025-12-31T14:48:00Z</dcterms:created>
  <dcterms:modified xsi:type="dcterms:W3CDTF">2025-12-31T14:50:00Z</dcterms:modified>
</cp:coreProperties>
</file>